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2F4A" w14:textId="77777777" w:rsidR="00DE67B1" w:rsidRPr="00DE67B1" w:rsidRDefault="00DE67B1" w:rsidP="00DE67B1">
      <w:pPr>
        <w:shd w:val="clear" w:color="auto" w:fill="FFFFFF"/>
        <w:spacing w:after="0" w:line="240" w:lineRule="auto"/>
        <w:outlineLvl w:val="0"/>
        <w:rPr>
          <w:rFonts w:ascii="Lato" w:eastAsia="Times New Roman" w:hAnsi="Lato" w:cs="Times New Roman"/>
          <w:color w:val="CC3300"/>
          <w:kern w:val="36"/>
          <w:sz w:val="36"/>
          <w:szCs w:val="36"/>
          <w:lang w:eastAsia="fr-BE"/>
        </w:rPr>
      </w:pPr>
      <w:r w:rsidRPr="00DE67B1">
        <w:rPr>
          <w:rFonts w:ascii="Lato" w:eastAsia="Times New Roman" w:hAnsi="Lato" w:cs="Times New Roman"/>
          <w:color w:val="CC3300"/>
          <w:kern w:val="36"/>
          <w:sz w:val="36"/>
          <w:szCs w:val="36"/>
          <w:lang w:eastAsia="fr-BE"/>
        </w:rPr>
        <w:t>Les primes en nette progression pour l’aluminium, le zinc, le nickel et le cuivre</w:t>
      </w:r>
    </w:p>
    <w:p w14:paraId="40B102D3" w14:textId="77777777" w:rsidR="00DE67B1" w:rsidRPr="00DE67B1" w:rsidRDefault="00DE67B1" w:rsidP="00DE67B1">
      <w:pPr>
        <w:shd w:val="clear" w:color="auto" w:fill="FFFFFF"/>
        <w:spacing w:before="150" w:after="150" w:line="240" w:lineRule="auto"/>
        <w:outlineLvl w:val="1"/>
        <w:rPr>
          <w:rFonts w:ascii="Lato" w:eastAsia="Times New Roman" w:hAnsi="Lato" w:cs="Times New Roman"/>
          <w:color w:val="3E001F"/>
          <w:sz w:val="30"/>
          <w:szCs w:val="30"/>
          <w:lang w:eastAsia="fr-BE"/>
        </w:rPr>
      </w:pPr>
      <w:r w:rsidRPr="00DE67B1">
        <w:rPr>
          <w:rFonts w:ascii="Lato" w:eastAsia="Times New Roman" w:hAnsi="Lato" w:cs="Times New Roman"/>
          <w:color w:val="3E001F"/>
          <w:sz w:val="30"/>
          <w:szCs w:val="30"/>
          <w:lang w:eastAsia="fr-BE"/>
        </w:rPr>
        <w:t>Panorama des primes</w:t>
      </w:r>
    </w:p>
    <w:p w14:paraId="094A1772" w14:textId="77777777" w:rsidR="00DE67B1" w:rsidRPr="00DE67B1" w:rsidRDefault="00DE67B1" w:rsidP="00DE67B1">
      <w:pPr>
        <w:shd w:val="clear" w:color="auto" w:fill="FFFFFF"/>
        <w:spacing w:before="75" w:after="75" w:line="240" w:lineRule="auto"/>
        <w:jc w:val="both"/>
        <w:rPr>
          <w:rFonts w:ascii="Lato" w:eastAsia="Times New Roman" w:hAnsi="Lato" w:cs="Times New Roman"/>
          <w:color w:val="000000"/>
          <w:sz w:val="23"/>
          <w:szCs w:val="23"/>
          <w:lang w:eastAsia="fr-BE"/>
        </w:rPr>
      </w:pPr>
      <w:proofErr w:type="gramStart"/>
      <w:r w:rsidRPr="00DE67B1">
        <w:rPr>
          <w:rFonts w:ascii="Lato" w:eastAsia="Times New Roman" w:hAnsi="Lato" w:cs="Times New Roman"/>
          <w:b/>
          <w:bCs/>
          <w:color w:val="000000"/>
          <w:sz w:val="23"/>
          <w:szCs w:val="23"/>
          <w:lang w:eastAsia="fr-BE"/>
        </w:rPr>
        <w:t>Rotterdam.–</w:t>
      </w:r>
      <w:proofErr w:type="gramEnd"/>
      <w:r w:rsidRPr="00DE67B1">
        <w:rPr>
          <w:rFonts w:ascii="Lato" w:eastAsia="Times New Roman" w:hAnsi="Lato" w:cs="Times New Roman"/>
          <w:b/>
          <w:bCs/>
          <w:color w:val="000000"/>
          <w:sz w:val="23"/>
          <w:szCs w:val="23"/>
          <w:lang w:eastAsia="fr-BE"/>
        </w:rPr>
        <w:t xml:space="preserve"> Les primes, conclues sur le Vieux continent, ont atteint de nouveaux sommets, emmenées par les tensions sur les approvisionnements, exacerbées par la guerre menée par la Russie - producteur majeur d’aluminium, de nickel et de cuivre - en Ukraine.</w:t>
      </w:r>
    </w:p>
    <w:p w14:paraId="7A7213C7" w14:textId="77777777" w:rsidR="00DE67B1" w:rsidRPr="00DE67B1" w:rsidRDefault="00DE67B1" w:rsidP="00DE67B1">
      <w:pPr>
        <w:shd w:val="clear" w:color="auto" w:fill="FFFFFF"/>
        <w:spacing w:before="75" w:after="75" w:line="240" w:lineRule="auto"/>
        <w:jc w:val="both"/>
        <w:rPr>
          <w:rFonts w:ascii="Lato" w:eastAsia="Times New Roman" w:hAnsi="Lato" w:cs="Times New Roman"/>
          <w:color w:val="000000"/>
          <w:sz w:val="23"/>
          <w:szCs w:val="23"/>
          <w:lang w:eastAsia="fr-BE"/>
        </w:rPr>
      </w:pPr>
      <w:r w:rsidRPr="00DE67B1">
        <w:rPr>
          <w:rFonts w:ascii="Lato" w:eastAsia="Times New Roman" w:hAnsi="Lato" w:cs="Times New Roman"/>
          <w:color w:val="000000"/>
          <w:sz w:val="23"/>
          <w:szCs w:val="23"/>
          <w:lang w:eastAsia="fr-BE"/>
        </w:rPr>
        <w:t> </w:t>
      </w:r>
    </w:p>
    <w:p w14:paraId="056DAF4F" w14:textId="77777777" w:rsidR="00DE67B1" w:rsidRPr="00DE67B1" w:rsidRDefault="00DE67B1" w:rsidP="00DE67B1">
      <w:pPr>
        <w:shd w:val="clear" w:color="auto" w:fill="FFFFFF"/>
        <w:spacing w:before="75" w:after="75" w:line="240" w:lineRule="auto"/>
        <w:jc w:val="both"/>
        <w:rPr>
          <w:rFonts w:ascii="Lato" w:eastAsia="Times New Roman" w:hAnsi="Lato" w:cs="Times New Roman"/>
          <w:color w:val="000000"/>
          <w:sz w:val="23"/>
          <w:szCs w:val="23"/>
          <w:lang w:eastAsia="fr-BE"/>
        </w:rPr>
      </w:pPr>
      <w:r w:rsidRPr="00DE67B1">
        <w:rPr>
          <w:rFonts w:ascii="Lato" w:eastAsia="Times New Roman" w:hAnsi="Lato" w:cs="Times New Roman"/>
          <w:b/>
          <w:bCs/>
          <w:color w:val="A52A2A"/>
          <w:sz w:val="23"/>
          <w:szCs w:val="23"/>
          <w:lang w:eastAsia="fr-BE"/>
        </w:rPr>
        <w:t>Aluminium : des progressions marquées partout en Europe</w:t>
      </w:r>
    </w:p>
    <w:p w14:paraId="5BEB2078" w14:textId="77777777" w:rsidR="00DE67B1" w:rsidRPr="00DE67B1" w:rsidRDefault="00DE67B1" w:rsidP="00DE67B1">
      <w:pPr>
        <w:shd w:val="clear" w:color="auto" w:fill="FFFFFF"/>
        <w:spacing w:before="75" w:after="75" w:line="240" w:lineRule="auto"/>
        <w:jc w:val="both"/>
        <w:rPr>
          <w:rFonts w:ascii="Lato" w:eastAsia="Times New Roman" w:hAnsi="Lato" w:cs="Times New Roman"/>
          <w:color w:val="000000"/>
          <w:sz w:val="23"/>
          <w:szCs w:val="23"/>
          <w:lang w:eastAsia="fr-BE"/>
        </w:rPr>
      </w:pPr>
      <w:r w:rsidRPr="00DE67B1">
        <w:rPr>
          <w:rFonts w:ascii="Lato" w:eastAsia="Times New Roman" w:hAnsi="Lato" w:cs="Times New Roman"/>
          <w:color w:val="000000"/>
          <w:sz w:val="23"/>
          <w:szCs w:val="23"/>
          <w:lang w:eastAsia="fr-BE"/>
        </w:rPr>
        <w:t>Pas de répit dans l’ascension des primes, qui ont atteint de nouveaux sommets, les disponibilités étant toujours aussi minces. Les primes nouées sur les </w:t>
      </w:r>
      <w:r w:rsidRPr="00DE67B1">
        <w:rPr>
          <w:rFonts w:ascii="Lato" w:eastAsia="Times New Roman" w:hAnsi="Lato" w:cs="Times New Roman"/>
          <w:color w:val="000000"/>
          <w:sz w:val="23"/>
          <w:szCs w:val="23"/>
          <w:u w:val="single"/>
          <w:lang w:eastAsia="fr-BE"/>
        </w:rPr>
        <w:t>lingots dédouanés</w:t>
      </w:r>
      <w:r w:rsidRPr="00DE67B1">
        <w:rPr>
          <w:rFonts w:ascii="Lato" w:eastAsia="Times New Roman" w:hAnsi="Lato" w:cs="Times New Roman"/>
          <w:color w:val="000000"/>
          <w:sz w:val="23"/>
          <w:szCs w:val="23"/>
          <w:lang w:eastAsia="fr-BE"/>
        </w:rPr>
        <w:t>, départ entrepôts de </w:t>
      </w:r>
      <w:r w:rsidRPr="00DE67B1">
        <w:rPr>
          <w:rFonts w:ascii="Lato" w:eastAsia="Times New Roman" w:hAnsi="Lato" w:cs="Times New Roman"/>
          <w:b/>
          <w:bCs/>
          <w:color w:val="000000"/>
          <w:sz w:val="23"/>
          <w:szCs w:val="23"/>
          <w:lang w:eastAsia="fr-BE"/>
        </w:rPr>
        <w:t>Rotterdam</w:t>
      </w:r>
      <w:r w:rsidRPr="00DE67B1">
        <w:rPr>
          <w:rFonts w:ascii="Lato" w:eastAsia="Times New Roman" w:hAnsi="Lato" w:cs="Times New Roman"/>
          <w:color w:val="000000"/>
          <w:sz w:val="23"/>
          <w:szCs w:val="23"/>
          <w:lang w:eastAsia="fr-BE"/>
        </w:rPr>
        <w:t>, ont atteint le niveau record de 570-610 $/t la semaine passée. Le marché a réagi à l’annonce de la réduction de capacités de production à l’usine d’Essen de </w:t>
      </w:r>
      <w:proofErr w:type="spellStart"/>
      <w:r w:rsidRPr="00DE67B1">
        <w:rPr>
          <w:rFonts w:ascii="Lato" w:eastAsia="Times New Roman" w:hAnsi="Lato" w:cs="Times New Roman"/>
          <w:b/>
          <w:bCs/>
          <w:color w:val="000000"/>
          <w:sz w:val="23"/>
          <w:szCs w:val="23"/>
          <w:lang w:eastAsia="fr-BE"/>
        </w:rPr>
        <w:t>Trimet</w:t>
      </w:r>
      <w:proofErr w:type="spellEnd"/>
      <w:r w:rsidRPr="00DE67B1">
        <w:rPr>
          <w:rFonts w:ascii="Lato" w:eastAsia="Times New Roman" w:hAnsi="Lato" w:cs="Times New Roman"/>
          <w:color w:val="000000"/>
          <w:sz w:val="23"/>
          <w:szCs w:val="23"/>
          <w:lang w:eastAsia="fr-BE"/>
        </w:rPr>
        <w:t>, où les prix de l’énergie sont devenus intenables. « </w:t>
      </w:r>
      <w:r w:rsidRPr="00DE67B1">
        <w:rPr>
          <w:rFonts w:ascii="Lato" w:eastAsia="Times New Roman" w:hAnsi="Lato" w:cs="Times New Roman"/>
          <w:i/>
          <w:iCs/>
          <w:color w:val="000000"/>
          <w:sz w:val="23"/>
          <w:szCs w:val="23"/>
          <w:lang w:eastAsia="fr-BE"/>
        </w:rPr>
        <w:t xml:space="preserve">Ce qui arrive à </w:t>
      </w:r>
      <w:proofErr w:type="spellStart"/>
      <w:r w:rsidRPr="00DE67B1">
        <w:rPr>
          <w:rFonts w:ascii="Lato" w:eastAsia="Times New Roman" w:hAnsi="Lato" w:cs="Times New Roman"/>
          <w:i/>
          <w:iCs/>
          <w:color w:val="000000"/>
          <w:sz w:val="23"/>
          <w:szCs w:val="23"/>
          <w:lang w:eastAsia="fr-BE"/>
        </w:rPr>
        <w:t>Trimet</w:t>
      </w:r>
      <w:proofErr w:type="spellEnd"/>
      <w:r w:rsidRPr="00DE67B1">
        <w:rPr>
          <w:rFonts w:ascii="Lato" w:eastAsia="Times New Roman" w:hAnsi="Lato" w:cs="Times New Roman"/>
          <w:i/>
          <w:iCs/>
          <w:color w:val="000000"/>
          <w:sz w:val="23"/>
          <w:szCs w:val="23"/>
          <w:lang w:eastAsia="fr-BE"/>
        </w:rPr>
        <w:t xml:space="preserve"> n’est peut-être que le commencement d’une série de réductions de capacités </w:t>
      </w:r>
      <w:r w:rsidRPr="00DE67B1">
        <w:rPr>
          <w:rFonts w:ascii="Lato" w:eastAsia="Times New Roman" w:hAnsi="Lato" w:cs="Times New Roman"/>
          <w:color w:val="000000"/>
          <w:sz w:val="23"/>
          <w:szCs w:val="23"/>
          <w:lang w:eastAsia="fr-BE"/>
        </w:rPr>
        <w:t>», suggère un trader. Les stocks du LME ont reflué sous les 700.000 tonnes, dont 4,6% seulement sont conservés dans les magasins européens. Les primes sur les </w:t>
      </w:r>
      <w:r w:rsidRPr="00DE67B1">
        <w:rPr>
          <w:rFonts w:ascii="Lato" w:eastAsia="Times New Roman" w:hAnsi="Lato" w:cs="Times New Roman"/>
          <w:color w:val="000000"/>
          <w:sz w:val="23"/>
          <w:szCs w:val="23"/>
          <w:u w:val="single"/>
          <w:lang w:eastAsia="fr-BE"/>
        </w:rPr>
        <w:t>lingots non dédouanés</w:t>
      </w:r>
      <w:r w:rsidRPr="00DE67B1">
        <w:rPr>
          <w:rFonts w:ascii="Lato" w:eastAsia="Times New Roman" w:hAnsi="Lato" w:cs="Times New Roman"/>
          <w:color w:val="000000"/>
          <w:sz w:val="23"/>
          <w:szCs w:val="23"/>
          <w:lang w:eastAsia="fr-BE"/>
        </w:rPr>
        <w:t>, départ entrepôts de </w:t>
      </w:r>
      <w:r w:rsidRPr="00DE67B1">
        <w:rPr>
          <w:rFonts w:ascii="Lato" w:eastAsia="Times New Roman" w:hAnsi="Lato" w:cs="Times New Roman"/>
          <w:b/>
          <w:bCs/>
          <w:color w:val="000000"/>
          <w:sz w:val="23"/>
          <w:szCs w:val="23"/>
          <w:lang w:eastAsia="fr-BE"/>
        </w:rPr>
        <w:t>Rotterdam</w:t>
      </w:r>
      <w:r w:rsidRPr="00DE67B1">
        <w:rPr>
          <w:rFonts w:ascii="Lato" w:eastAsia="Times New Roman" w:hAnsi="Lato" w:cs="Times New Roman"/>
          <w:color w:val="000000"/>
          <w:sz w:val="23"/>
          <w:szCs w:val="23"/>
          <w:lang w:eastAsia="fr-BE"/>
        </w:rPr>
        <w:t>, ont également progressé, à 430-460 $/t, contre 410-440 $/t la semaine passée.</w:t>
      </w:r>
    </w:p>
    <w:p w14:paraId="66499354" w14:textId="77777777" w:rsidR="00DE67B1" w:rsidRPr="00DE67B1" w:rsidRDefault="00DE67B1" w:rsidP="00DE67B1">
      <w:pPr>
        <w:shd w:val="clear" w:color="auto" w:fill="FFFFFF"/>
        <w:spacing w:before="75" w:after="75" w:line="240" w:lineRule="auto"/>
        <w:jc w:val="both"/>
        <w:rPr>
          <w:rFonts w:ascii="Lato" w:eastAsia="Times New Roman" w:hAnsi="Lato" w:cs="Times New Roman"/>
          <w:color w:val="000000"/>
          <w:sz w:val="23"/>
          <w:szCs w:val="23"/>
          <w:lang w:eastAsia="fr-BE"/>
        </w:rPr>
      </w:pPr>
      <w:r w:rsidRPr="00DE67B1">
        <w:rPr>
          <w:rFonts w:ascii="Lato" w:eastAsia="Times New Roman" w:hAnsi="Lato" w:cs="Times New Roman"/>
          <w:color w:val="000000"/>
          <w:sz w:val="23"/>
          <w:szCs w:val="23"/>
          <w:lang w:eastAsia="fr-BE"/>
        </w:rPr>
        <w:t xml:space="preserve">Les primes ont également renchéri dans le sud du continent. Celles nouées </w:t>
      </w:r>
      <w:proofErr w:type="spellStart"/>
      <w:r w:rsidRPr="00DE67B1">
        <w:rPr>
          <w:rFonts w:ascii="Lato" w:eastAsia="Times New Roman" w:hAnsi="Lato" w:cs="Times New Roman"/>
          <w:color w:val="000000"/>
          <w:sz w:val="23"/>
          <w:szCs w:val="23"/>
          <w:lang w:eastAsia="fr-BE"/>
        </w:rPr>
        <w:t>fca</w:t>
      </w:r>
      <w:proofErr w:type="spellEnd"/>
      <w:r w:rsidRPr="00DE67B1">
        <w:rPr>
          <w:rFonts w:ascii="Lato" w:eastAsia="Times New Roman" w:hAnsi="Lato" w:cs="Times New Roman"/>
          <w:color w:val="000000"/>
          <w:sz w:val="23"/>
          <w:szCs w:val="23"/>
          <w:lang w:eastAsia="fr-BE"/>
        </w:rPr>
        <w:t xml:space="preserve"> Italie se sont </w:t>
      </w:r>
      <w:proofErr w:type="gramStart"/>
      <w:r w:rsidRPr="00DE67B1">
        <w:rPr>
          <w:rFonts w:ascii="Lato" w:eastAsia="Times New Roman" w:hAnsi="Lato" w:cs="Times New Roman"/>
          <w:color w:val="000000"/>
          <w:sz w:val="23"/>
          <w:szCs w:val="23"/>
          <w:lang w:eastAsia="fr-BE"/>
        </w:rPr>
        <w:t>appréciées</w:t>
      </w:r>
      <w:proofErr w:type="gramEnd"/>
      <w:r w:rsidRPr="00DE67B1">
        <w:rPr>
          <w:rFonts w:ascii="Lato" w:eastAsia="Times New Roman" w:hAnsi="Lato" w:cs="Times New Roman"/>
          <w:color w:val="000000"/>
          <w:sz w:val="23"/>
          <w:szCs w:val="23"/>
          <w:lang w:eastAsia="fr-BE"/>
        </w:rPr>
        <w:t xml:space="preserve"> de 20-15 $ à 620-635 $/t. « La demande est un peu plus calme en </w:t>
      </w:r>
      <w:r w:rsidRPr="00DE67B1">
        <w:rPr>
          <w:rFonts w:ascii="Lato" w:eastAsia="Times New Roman" w:hAnsi="Lato" w:cs="Times New Roman"/>
          <w:b/>
          <w:bCs/>
          <w:color w:val="000000"/>
          <w:sz w:val="23"/>
          <w:szCs w:val="23"/>
          <w:lang w:eastAsia="fr-BE"/>
        </w:rPr>
        <w:t>Italie </w:t>
      </w:r>
      <w:r w:rsidRPr="00DE67B1">
        <w:rPr>
          <w:rFonts w:ascii="Lato" w:eastAsia="Times New Roman" w:hAnsi="Lato" w:cs="Times New Roman"/>
          <w:color w:val="000000"/>
          <w:sz w:val="23"/>
          <w:szCs w:val="23"/>
          <w:lang w:eastAsia="fr-BE"/>
        </w:rPr>
        <w:t>dernièrement, mais les primes devraient encore progresser, dans le sillage de la hausse enregistrée dans le nord du continent », estime un trader de la péninsule.</w:t>
      </w:r>
    </w:p>
    <w:p w14:paraId="2FA5E165" w14:textId="77777777" w:rsidR="00DE67B1" w:rsidRPr="00DE67B1" w:rsidRDefault="00DE67B1" w:rsidP="00DE67B1">
      <w:pPr>
        <w:shd w:val="clear" w:color="auto" w:fill="FFFFFF"/>
        <w:spacing w:before="75" w:after="75" w:line="240" w:lineRule="auto"/>
        <w:jc w:val="both"/>
        <w:rPr>
          <w:rFonts w:ascii="Lato" w:eastAsia="Times New Roman" w:hAnsi="Lato" w:cs="Times New Roman"/>
          <w:color w:val="000000"/>
          <w:sz w:val="23"/>
          <w:szCs w:val="23"/>
          <w:lang w:eastAsia="fr-BE"/>
        </w:rPr>
      </w:pPr>
      <w:r w:rsidRPr="00DE67B1">
        <w:rPr>
          <w:rFonts w:ascii="Lato" w:eastAsia="Times New Roman" w:hAnsi="Lato" w:cs="Times New Roman"/>
          <w:color w:val="000000"/>
          <w:sz w:val="23"/>
          <w:szCs w:val="23"/>
          <w:lang w:eastAsia="fr-BE"/>
        </w:rPr>
        <w:t> </w:t>
      </w:r>
    </w:p>
    <w:p w14:paraId="09C4BE68" w14:textId="77777777" w:rsidR="00DE67B1" w:rsidRPr="00DE67B1" w:rsidRDefault="00DE67B1" w:rsidP="00DE67B1">
      <w:pPr>
        <w:shd w:val="clear" w:color="auto" w:fill="FFFFFF"/>
        <w:spacing w:before="75" w:after="75" w:line="240" w:lineRule="auto"/>
        <w:jc w:val="both"/>
        <w:rPr>
          <w:rFonts w:ascii="Lato" w:eastAsia="Times New Roman" w:hAnsi="Lato" w:cs="Times New Roman"/>
          <w:color w:val="000000"/>
          <w:sz w:val="23"/>
          <w:szCs w:val="23"/>
          <w:lang w:eastAsia="fr-BE"/>
        </w:rPr>
      </w:pPr>
      <w:r w:rsidRPr="00DE67B1">
        <w:rPr>
          <w:rFonts w:ascii="Lato" w:eastAsia="Times New Roman" w:hAnsi="Lato" w:cs="Times New Roman"/>
          <w:b/>
          <w:bCs/>
          <w:color w:val="A52A2A"/>
          <w:sz w:val="23"/>
          <w:szCs w:val="23"/>
          <w:lang w:eastAsia="fr-BE"/>
        </w:rPr>
        <w:t>Zinc : de nouveaux sommets</w:t>
      </w:r>
    </w:p>
    <w:p w14:paraId="5BC93FAC" w14:textId="77777777" w:rsidR="00DE67B1" w:rsidRPr="00DE67B1" w:rsidRDefault="00DE67B1" w:rsidP="00DE67B1">
      <w:pPr>
        <w:shd w:val="clear" w:color="auto" w:fill="FFFFFF"/>
        <w:spacing w:before="75" w:after="75" w:line="240" w:lineRule="auto"/>
        <w:jc w:val="both"/>
        <w:rPr>
          <w:rFonts w:ascii="Lato" w:eastAsia="Times New Roman" w:hAnsi="Lato" w:cs="Times New Roman"/>
          <w:color w:val="000000"/>
          <w:sz w:val="23"/>
          <w:szCs w:val="23"/>
          <w:lang w:eastAsia="fr-BE"/>
        </w:rPr>
      </w:pPr>
      <w:r w:rsidRPr="00DE67B1">
        <w:rPr>
          <w:rFonts w:ascii="Lato" w:eastAsia="Times New Roman" w:hAnsi="Lato" w:cs="Times New Roman"/>
          <w:color w:val="000000"/>
          <w:sz w:val="23"/>
          <w:szCs w:val="23"/>
          <w:lang w:eastAsia="fr-BE"/>
        </w:rPr>
        <w:t>La barre des 400 $ a allègrement été franchie pour les primes qui ne sont désormais plus atteignables en dessous. Les tensions sur les disponibilités sont la principale raison de cette robustesse. Les primes négociées sur les </w:t>
      </w:r>
      <w:r w:rsidRPr="00DE67B1">
        <w:rPr>
          <w:rFonts w:ascii="Lato" w:eastAsia="Times New Roman" w:hAnsi="Lato" w:cs="Times New Roman"/>
          <w:color w:val="000000"/>
          <w:sz w:val="23"/>
          <w:szCs w:val="23"/>
          <w:u w:val="single"/>
          <w:lang w:eastAsia="fr-BE"/>
        </w:rPr>
        <w:t>lingots SHG</w:t>
      </w:r>
      <w:r w:rsidRPr="00DE67B1">
        <w:rPr>
          <w:rFonts w:ascii="Lato" w:eastAsia="Times New Roman" w:hAnsi="Lato" w:cs="Times New Roman"/>
          <w:color w:val="000000"/>
          <w:sz w:val="23"/>
          <w:szCs w:val="23"/>
          <w:lang w:eastAsia="fr-BE"/>
        </w:rPr>
        <w:t xml:space="preserve">, </w:t>
      </w:r>
      <w:proofErr w:type="spellStart"/>
      <w:r w:rsidRPr="00DE67B1">
        <w:rPr>
          <w:rFonts w:ascii="Lato" w:eastAsia="Times New Roman" w:hAnsi="Lato" w:cs="Times New Roman"/>
          <w:color w:val="000000"/>
          <w:sz w:val="23"/>
          <w:szCs w:val="23"/>
          <w:lang w:eastAsia="fr-BE"/>
        </w:rPr>
        <w:t>fca</w:t>
      </w:r>
      <w:proofErr w:type="spellEnd"/>
      <w:r w:rsidRPr="00DE67B1">
        <w:rPr>
          <w:rFonts w:ascii="Lato" w:eastAsia="Times New Roman" w:hAnsi="Lato" w:cs="Times New Roman"/>
          <w:color w:val="000000"/>
          <w:sz w:val="23"/>
          <w:szCs w:val="23"/>
          <w:lang w:eastAsia="fr-BE"/>
        </w:rPr>
        <w:t> </w:t>
      </w:r>
      <w:r w:rsidRPr="00DE67B1">
        <w:rPr>
          <w:rFonts w:ascii="Lato" w:eastAsia="Times New Roman" w:hAnsi="Lato" w:cs="Times New Roman"/>
          <w:b/>
          <w:bCs/>
          <w:color w:val="000000"/>
          <w:sz w:val="23"/>
          <w:szCs w:val="23"/>
          <w:lang w:eastAsia="fr-BE"/>
        </w:rPr>
        <w:t>Anvers </w:t>
      </w:r>
      <w:r w:rsidRPr="00DE67B1">
        <w:rPr>
          <w:rFonts w:ascii="Lato" w:eastAsia="Times New Roman" w:hAnsi="Lato" w:cs="Times New Roman"/>
          <w:color w:val="000000"/>
          <w:sz w:val="23"/>
          <w:szCs w:val="23"/>
          <w:lang w:eastAsia="fr-BE"/>
        </w:rPr>
        <w:t>et </w:t>
      </w:r>
      <w:r w:rsidRPr="00DE67B1">
        <w:rPr>
          <w:rFonts w:ascii="Lato" w:eastAsia="Times New Roman" w:hAnsi="Lato" w:cs="Times New Roman"/>
          <w:b/>
          <w:bCs/>
          <w:color w:val="000000"/>
          <w:sz w:val="23"/>
          <w:szCs w:val="23"/>
          <w:lang w:eastAsia="fr-BE"/>
        </w:rPr>
        <w:t>Rotterdam</w:t>
      </w:r>
      <w:r w:rsidRPr="00DE67B1">
        <w:rPr>
          <w:rFonts w:ascii="Lato" w:eastAsia="Times New Roman" w:hAnsi="Lato" w:cs="Times New Roman"/>
          <w:color w:val="000000"/>
          <w:sz w:val="23"/>
          <w:szCs w:val="23"/>
          <w:lang w:eastAsia="fr-BE"/>
        </w:rPr>
        <w:t xml:space="preserve">, ont été portées à 430-470 $/t, à comparer avec 370-425 $/t la semaine précédente. Une prime aurait été scellée vers le haut de la nouvelle fourchette. Les opérateurs situent dorénavant le marché aux alentours des 500 $, </w:t>
      </w:r>
      <w:proofErr w:type="gramStart"/>
      <w:r w:rsidRPr="00DE67B1">
        <w:rPr>
          <w:rFonts w:ascii="Lato" w:eastAsia="Times New Roman" w:hAnsi="Lato" w:cs="Times New Roman"/>
          <w:color w:val="000000"/>
          <w:sz w:val="23"/>
          <w:szCs w:val="23"/>
          <w:lang w:eastAsia="fr-BE"/>
        </w:rPr>
        <w:t>voire même</w:t>
      </w:r>
      <w:proofErr w:type="gramEnd"/>
      <w:r w:rsidRPr="00DE67B1">
        <w:rPr>
          <w:rFonts w:ascii="Lato" w:eastAsia="Times New Roman" w:hAnsi="Lato" w:cs="Times New Roman"/>
          <w:color w:val="000000"/>
          <w:sz w:val="23"/>
          <w:szCs w:val="23"/>
          <w:lang w:eastAsia="fr-BE"/>
        </w:rPr>
        <w:t xml:space="preserve"> au-delà, bien qu’aucune prime n’ait été, pour l’heure, conclue à ce niveau. Le bond des primes est intervenu en dépit de l’annonce de la reprise prochaine de l’activité à la fonderie de </w:t>
      </w:r>
      <w:proofErr w:type="spellStart"/>
      <w:r w:rsidRPr="00DE67B1">
        <w:rPr>
          <w:rFonts w:ascii="Lato" w:eastAsia="Times New Roman" w:hAnsi="Lato" w:cs="Times New Roman"/>
          <w:b/>
          <w:bCs/>
          <w:color w:val="000000"/>
          <w:sz w:val="23"/>
          <w:szCs w:val="23"/>
          <w:lang w:eastAsia="fr-BE"/>
        </w:rPr>
        <w:t>Nyrstar</w:t>
      </w:r>
      <w:proofErr w:type="spellEnd"/>
      <w:r w:rsidRPr="00DE67B1">
        <w:rPr>
          <w:rFonts w:ascii="Lato" w:eastAsia="Times New Roman" w:hAnsi="Lato" w:cs="Times New Roman"/>
          <w:color w:val="000000"/>
          <w:sz w:val="23"/>
          <w:szCs w:val="23"/>
          <w:lang w:eastAsia="fr-BE"/>
        </w:rPr>
        <w:t>, à Auby, en France. Les acteurs du marché pensent en effet que les tensions sur l’approvisionnement vont perdurer malgré ce nouvel apport. « </w:t>
      </w:r>
      <w:r w:rsidRPr="00DE67B1">
        <w:rPr>
          <w:rFonts w:ascii="Lato" w:eastAsia="Times New Roman" w:hAnsi="Lato" w:cs="Times New Roman"/>
          <w:i/>
          <w:iCs/>
          <w:color w:val="000000"/>
          <w:sz w:val="23"/>
          <w:szCs w:val="23"/>
          <w:lang w:eastAsia="fr-BE"/>
        </w:rPr>
        <w:t>Les tensions ne peuvent être dissipées rien qu’en redémarrant les capacités de l’usine </w:t>
      </w:r>
      <w:r w:rsidRPr="00DE67B1">
        <w:rPr>
          <w:rFonts w:ascii="Lato" w:eastAsia="Times New Roman" w:hAnsi="Lato" w:cs="Times New Roman"/>
          <w:color w:val="000000"/>
          <w:sz w:val="23"/>
          <w:szCs w:val="23"/>
          <w:lang w:eastAsia="fr-BE"/>
        </w:rPr>
        <w:t>», estime un trader. « </w:t>
      </w:r>
      <w:r w:rsidRPr="00DE67B1">
        <w:rPr>
          <w:rFonts w:ascii="Lato" w:eastAsia="Times New Roman" w:hAnsi="Lato" w:cs="Times New Roman"/>
          <w:i/>
          <w:iCs/>
          <w:color w:val="000000"/>
          <w:sz w:val="23"/>
          <w:szCs w:val="23"/>
          <w:lang w:eastAsia="fr-BE"/>
        </w:rPr>
        <w:t>Les stocks sont vides</w:t>
      </w:r>
      <w:r w:rsidRPr="00DE67B1">
        <w:rPr>
          <w:rFonts w:ascii="Lato" w:eastAsia="Times New Roman" w:hAnsi="Lato" w:cs="Times New Roman"/>
          <w:color w:val="000000"/>
          <w:sz w:val="23"/>
          <w:szCs w:val="23"/>
          <w:lang w:eastAsia="fr-BE"/>
        </w:rPr>
        <w:t> », rappelle un second trader. « </w:t>
      </w:r>
      <w:r w:rsidRPr="00DE67B1">
        <w:rPr>
          <w:rFonts w:ascii="Lato" w:eastAsia="Times New Roman" w:hAnsi="Lato" w:cs="Times New Roman"/>
          <w:i/>
          <w:iCs/>
          <w:color w:val="000000"/>
          <w:sz w:val="23"/>
          <w:szCs w:val="23"/>
          <w:lang w:eastAsia="fr-BE"/>
        </w:rPr>
        <w:t>Nous ne faisons plus d’offres inférieures à 450 $/t </w:t>
      </w:r>
      <w:r w:rsidRPr="00DE67B1">
        <w:rPr>
          <w:rFonts w:ascii="Lato" w:eastAsia="Times New Roman" w:hAnsi="Lato" w:cs="Times New Roman"/>
          <w:color w:val="000000"/>
          <w:sz w:val="23"/>
          <w:szCs w:val="23"/>
          <w:lang w:eastAsia="fr-BE"/>
        </w:rPr>
        <w:t>», précise le premier trader.</w:t>
      </w:r>
    </w:p>
    <w:p w14:paraId="529C838C" w14:textId="77777777" w:rsidR="00DE67B1" w:rsidRPr="00DE67B1" w:rsidRDefault="00DE67B1" w:rsidP="00DE67B1">
      <w:pPr>
        <w:shd w:val="clear" w:color="auto" w:fill="FFFFFF"/>
        <w:spacing w:before="75" w:after="75" w:line="240" w:lineRule="auto"/>
        <w:jc w:val="both"/>
        <w:rPr>
          <w:rFonts w:ascii="Lato" w:eastAsia="Times New Roman" w:hAnsi="Lato" w:cs="Times New Roman"/>
          <w:color w:val="000000"/>
          <w:sz w:val="23"/>
          <w:szCs w:val="23"/>
          <w:lang w:eastAsia="fr-BE"/>
        </w:rPr>
      </w:pPr>
      <w:r w:rsidRPr="00DE67B1">
        <w:rPr>
          <w:rFonts w:ascii="Lato" w:eastAsia="Times New Roman" w:hAnsi="Lato" w:cs="Times New Roman"/>
          <w:color w:val="000000"/>
          <w:sz w:val="23"/>
          <w:szCs w:val="23"/>
          <w:lang w:eastAsia="fr-BE"/>
        </w:rPr>
        <w:t>En </w:t>
      </w:r>
      <w:r w:rsidRPr="00DE67B1">
        <w:rPr>
          <w:rFonts w:ascii="Lato" w:eastAsia="Times New Roman" w:hAnsi="Lato" w:cs="Times New Roman"/>
          <w:b/>
          <w:bCs/>
          <w:color w:val="000000"/>
          <w:sz w:val="23"/>
          <w:szCs w:val="23"/>
          <w:lang w:eastAsia="fr-BE"/>
        </w:rPr>
        <w:t>Italie</w:t>
      </w:r>
      <w:r w:rsidRPr="00DE67B1">
        <w:rPr>
          <w:rFonts w:ascii="Lato" w:eastAsia="Times New Roman" w:hAnsi="Lato" w:cs="Times New Roman"/>
          <w:color w:val="000000"/>
          <w:sz w:val="23"/>
          <w:szCs w:val="23"/>
          <w:lang w:eastAsia="fr-BE"/>
        </w:rPr>
        <w:t>, les échanges sont restés très limités. Les primes sur les </w:t>
      </w:r>
      <w:r w:rsidRPr="00DE67B1">
        <w:rPr>
          <w:rFonts w:ascii="Lato" w:eastAsia="Times New Roman" w:hAnsi="Lato" w:cs="Times New Roman"/>
          <w:color w:val="000000"/>
          <w:sz w:val="23"/>
          <w:szCs w:val="23"/>
          <w:u w:val="single"/>
          <w:lang w:eastAsia="fr-BE"/>
        </w:rPr>
        <w:t>lingots dédouanés livrés</w:t>
      </w:r>
      <w:r w:rsidRPr="00DE67B1">
        <w:rPr>
          <w:rFonts w:ascii="Lato" w:eastAsia="Times New Roman" w:hAnsi="Lato" w:cs="Times New Roman"/>
          <w:color w:val="000000"/>
          <w:sz w:val="23"/>
          <w:szCs w:val="23"/>
          <w:lang w:eastAsia="fr-BE"/>
        </w:rPr>
        <w:t> en </w:t>
      </w:r>
      <w:r w:rsidRPr="00DE67B1">
        <w:rPr>
          <w:rFonts w:ascii="Lato" w:eastAsia="Times New Roman" w:hAnsi="Lato" w:cs="Times New Roman"/>
          <w:b/>
          <w:bCs/>
          <w:color w:val="000000"/>
          <w:sz w:val="23"/>
          <w:szCs w:val="23"/>
          <w:lang w:eastAsia="fr-BE"/>
        </w:rPr>
        <w:t>Italie </w:t>
      </w:r>
      <w:r w:rsidRPr="00DE67B1">
        <w:rPr>
          <w:rFonts w:ascii="Lato" w:eastAsia="Times New Roman" w:hAnsi="Lato" w:cs="Times New Roman"/>
          <w:color w:val="000000"/>
          <w:sz w:val="23"/>
          <w:szCs w:val="23"/>
          <w:lang w:eastAsia="fr-BE"/>
        </w:rPr>
        <w:t>demeurent inchangées, à 425-500 $/t, un niveau en adéquation avec celui pratiqué dans le nord du continent. Les tensions sur l’approvisionnement limitent les échanges. « </w:t>
      </w:r>
      <w:r w:rsidRPr="00DE67B1">
        <w:rPr>
          <w:rFonts w:ascii="Lato" w:eastAsia="Times New Roman" w:hAnsi="Lato" w:cs="Times New Roman"/>
          <w:i/>
          <w:iCs/>
          <w:color w:val="000000"/>
          <w:sz w:val="23"/>
          <w:szCs w:val="23"/>
          <w:lang w:eastAsia="fr-BE"/>
        </w:rPr>
        <w:t>Il n’y a pas de vendeurs, le marché est extrêmement tendu</w:t>
      </w:r>
      <w:r w:rsidRPr="00DE67B1">
        <w:rPr>
          <w:rFonts w:ascii="Lato" w:eastAsia="Times New Roman" w:hAnsi="Lato" w:cs="Times New Roman"/>
          <w:color w:val="000000"/>
          <w:sz w:val="23"/>
          <w:szCs w:val="23"/>
          <w:lang w:eastAsia="fr-BE"/>
        </w:rPr>
        <w:t> », confirme un troisième trader. Certains voient les primes atteindre les 550 $/t prochainement, à condition toutefois que les liquidités affluent. Les primes sur les </w:t>
      </w:r>
      <w:r w:rsidRPr="00DE67B1">
        <w:rPr>
          <w:rFonts w:ascii="Lato" w:eastAsia="Times New Roman" w:hAnsi="Lato" w:cs="Times New Roman"/>
          <w:color w:val="000000"/>
          <w:sz w:val="23"/>
          <w:szCs w:val="23"/>
          <w:u w:val="single"/>
          <w:lang w:eastAsia="fr-BE"/>
        </w:rPr>
        <w:t xml:space="preserve">lingots </w:t>
      </w:r>
      <w:proofErr w:type="spellStart"/>
      <w:r w:rsidRPr="00DE67B1">
        <w:rPr>
          <w:rFonts w:ascii="Lato" w:eastAsia="Times New Roman" w:hAnsi="Lato" w:cs="Times New Roman"/>
          <w:color w:val="000000"/>
          <w:sz w:val="23"/>
          <w:szCs w:val="23"/>
          <w:u w:val="single"/>
          <w:lang w:eastAsia="fr-BE"/>
        </w:rPr>
        <w:t>fca</w:t>
      </w:r>
      <w:proofErr w:type="spellEnd"/>
      <w:r w:rsidRPr="00DE67B1">
        <w:rPr>
          <w:rFonts w:ascii="Lato" w:eastAsia="Times New Roman" w:hAnsi="Lato" w:cs="Times New Roman"/>
          <w:color w:val="000000"/>
          <w:sz w:val="23"/>
          <w:szCs w:val="23"/>
          <w:lang w:eastAsia="fr-BE"/>
        </w:rPr>
        <w:t> </w:t>
      </w:r>
      <w:r w:rsidRPr="00DE67B1">
        <w:rPr>
          <w:rFonts w:ascii="Lato" w:eastAsia="Times New Roman" w:hAnsi="Lato" w:cs="Times New Roman"/>
          <w:b/>
          <w:bCs/>
          <w:color w:val="000000"/>
          <w:sz w:val="23"/>
          <w:szCs w:val="23"/>
          <w:lang w:eastAsia="fr-BE"/>
        </w:rPr>
        <w:t>Italie </w:t>
      </w:r>
      <w:r w:rsidRPr="00DE67B1">
        <w:rPr>
          <w:rFonts w:ascii="Lato" w:eastAsia="Times New Roman" w:hAnsi="Lato" w:cs="Times New Roman"/>
          <w:color w:val="000000"/>
          <w:sz w:val="23"/>
          <w:szCs w:val="23"/>
          <w:lang w:eastAsia="fr-BE"/>
        </w:rPr>
        <w:t>sont également inchangées, sur une semaine, à 350-380 $/t, en raison, là aussi, de l’absence de liquidités.</w:t>
      </w:r>
    </w:p>
    <w:p w14:paraId="596F786F" w14:textId="77777777" w:rsidR="00DE67B1" w:rsidRPr="00DE67B1" w:rsidRDefault="00DE67B1" w:rsidP="00DE67B1">
      <w:pPr>
        <w:shd w:val="clear" w:color="auto" w:fill="FFFFFF"/>
        <w:spacing w:before="75" w:after="75" w:line="240" w:lineRule="auto"/>
        <w:jc w:val="both"/>
        <w:rPr>
          <w:rFonts w:ascii="Lato" w:eastAsia="Times New Roman" w:hAnsi="Lato" w:cs="Times New Roman"/>
          <w:color w:val="000000"/>
          <w:sz w:val="23"/>
          <w:szCs w:val="23"/>
          <w:lang w:eastAsia="fr-BE"/>
        </w:rPr>
      </w:pPr>
      <w:r w:rsidRPr="00DE67B1">
        <w:rPr>
          <w:rFonts w:ascii="Lato" w:eastAsia="Times New Roman" w:hAnsi="Lato" w:cs="Times New Roman"/>
          <w:color w:val="000000"/>
          <w:sz w:val="23"/>
          <w:szCs w:val="23"/>
          <w:lang w:eastAsia="fr-BE"/>
        </w:rPr>
        <w:t> </w:t>
      </w:r>
    </w:p>
    <w:p w14:paraId="246C2DB7" w14:textId="77777777" w:rsidR="00DE67B1" w:rsidRPr="00DE67B1" w:rsidRDefault="00DE67B1" w:rsidP="00DE67B1">
      <w:pPr>
        <w:shd w:val="clear" w:color="auto" w:fill="FFFFFF"/>
        <w:spacing w:before="75" w:after="75" w:line="240" w:lineRule="auto"/>
        <w:jc w:val="both"/>
        <w:rPr>
          <w:rFonts w:ascii="Lato" w:eastAsia="Times New Roman" w:hAnsi="Lato" w:cs="Times New Roman"/>
          <w:color w:val="000000"/>
          <w:sz w:val="23"/>
          <w:szCs w:val="23"/>
          <w:lang w:eastAsia="fr-BE"/>
        </w:rPr>
      </w:pPr>
      <w:r w:rsidRPr="00DE67B1">
        <w:rPr>
          <w:rFonts w:ascii="Lato" w:eastAsia="Times New Roman" w:hAnsi="Lato" w:cs="Times New Roman"/>
          <w:b/>
          <w:bCs/>
          <w:color w:val="A52A2A"/>
          <w:sz w:val="23"/>
          <w:szCs w:val="23"/>
          <w:lang w:eastAsia="fr-BE"/>
        </w:rPr>
        <w:lastRenderedPageBreak/>
        <w:t>Nickel : un bond pour les cathodes coupées cette fois</w:t>
      </w:r>
    </w:p>
    <w:p w14:paraId="652294D4" w14:textId="77777777" w:rsidR="00DE67B1" w:rsidRPr="00DE67B1" w:rsidRDefault="00DE67B1" w:rsidP="00DE67B1">
      <w:pPr>
        <w:shd w:val="clear" w:color="auto" w:fill="FFFFFF"/>
        <w:spacing w:before="75" w:after="75" w:line="240" w:lineRule="auto"/>
        <w:jc w:val="both"/>
        <w:rPr>
          <w:rFonts w:ascii="Lato" w:eastAsia="Times New Roman" w:hAnsi="Lato" w:cs="Times New Roman"/>
          <w:color w:val="000000"/>
          <w:sz w:val="23"/>
          <w:szCs w:val="23"/>
          <w:lang w:eastAsia="fr-BE"/>
        </w:rPr>
      </w:pPr>
      <w:r w:rsidRPr="00DE67B1">
        <w:rPr>
          <w:rFonts w:ascii="Lato" w:eastAsia="Times New Roman" w:hAnsi="Lato" w:cs="Times New Roman"/>
          <w:color w:val="000000"/>
          <w:sz w:val="23"/>
          <w:szCs w:val="23"/>
          <w:lang w:eastAsia="fr-BE"/>
        </w:rPr>
        <w:t>Les conditions de marché pour les </w:t>
      </w:r>
      <w:r w:rsidRPr="00DE67B1">
        <w:rPr>
          <w:rFonts w:ascii="Lato" w:eastAsia="Times New Roman" w:hAnsi="Lato" w:cs="Times New Roman"/>
          <w:color w:val="000000"/>
          <w:sz w:val="23"/>
          <w:szCs w:val="23"/>
          <w:u w:val="single"/>
          <w:lang w:eastAsia="fr-BE"/>
        </w:rPr>
        <w:t>cathodes coupées</w:t>
      </w:r>
      <w:r w:rsidRPr="00DE67B1">
        <w:rPr>
          <w:rFonts w:ascii="Lato" w:eastAsia="Times New Roman" w:hAnsi="Lato" w:cs="Times New Roman"/>
          <w:color w:val="000000"/>
          <w:sz w:val="23"/>
          <w:szCs w:val="23"/>
          <w:lang w:eastAsia="fr-BE"/>
        </w:rPr>
        <w:t> sont toujours très haussières : tensions sur les disponibilités, coûts de coupe, de conditionnement et de transport élevés. En outre, une hausse des liquidités a été enregistrée. Dans ce contexte, les primes ont renchéri de 150-250 $/t, départ entrepôts de </w:t>
      </w:r>
      <w:r w:rsidRPr="00DE67B1">
        <w:rPr>
          <w:rFonts w:ascii="Lato" w:eastAsia="Times New Roman" w:hAnsi="Lato" w:cs="Times New Roman"/>
          <w:b/>
          <w:bCs/>
          <w:color w:val="000000"/>
          <w:sz w:val="23"/>
          <w:szCs w:val="23"/>
          <w:lang w:eastAsia="fr-BE"/>
        </w:rPr>
        <w:t>Rotterdam</w:t>
      </w:r>
      <w:r w:rsidRPr="00DE67B1">
        <w:rPr>
          <w:rFonts w:ascii="Lato" w:eastAsia="Times New Roman" w:hAnsi="Lato" w:cs="Times New Roman"/>
          <w:color w:val="000000"/>
          <w:sz w:val="23"/>
          <w:szCs w:val="23"/>
          <w:lang w:eastAsia="fr-BE"/>
        </w:rPr>
        <w:t>, sur une semaine, à 650-800 $/t, soit leur niveau le plus élevé depuis août 2007. Les opérateurs ont fait leur retour sur le marché spot, après deux semaines de retrait, consécutif à l’arrêt des échanges à la bourse de Londres. Ces derniers ont repris le 22 mars. « </w:t>
      </w:r>
      <w:r w:rsidRPr="00DE67B1">
        <w:rPr>
          <w:rFonts w:ascii="Lato" w:eastAsia="Times New Roman" w:hAnsi="Lato" w:cs="Times New Roman"/>
          <w:i/>
          <w:iCs/>
          <w:color w:val="000000"/>
          <w:sz w:val="23"/>
          <w:szCs w:val="23"/>
          <w:lang w:eastAsia="fr-BE"/>
        </w:rPr>
        <w:t>Les traders sont à nouveau en mesure de proposer du métal sur le marché spot</w:t>
      </w:r>
      <w:r w:rsidRPr="00DE67B1">
        <w:rPr>
          <w:rFonts w:ascii="Lato" w:eastAsia="Times New Roman" w:hAnsi="Lato" w:cs="Times New Roman"/>
          <w:color w:val="000000"/>
          <w:sz w:val="23"/>
          <w:szCs w:val="23"/>
          <w:lang w:eastAsia="fr-BE"/>
        </w:rPr>
        <w:t> », indique l’un d’entre eux.</w:t>
      </w:r>
    </w:p>
    <w:p w14:paraId="7AB47090" w14:textId="77777777" w:rsidR="00DE67B1" w:rsidRPr="00DE67B1" w:rsidRDefault="00DE67B1" w:rsidP="00DE67B1">
      <w:pPr>
        <w:shd w:val="clear" w:color="auto" w:fill="FFFFFF"/>
        <w:spacing w:before="75" w:after="75" w:line="240" w:lineRule="auto"/>
        <w:jc w:val="both"/>
        <w:rPr>
          <w:rFonts w:ascii="Lato" w:eastAsia="Times New Roman" w:hAnsi="Lato" w:cs="Times New Roman"/>
          <w:color w:val="000000"/>
          <w:sz w:val="23"/>
          <w:szCs w:val="23"/>
          <w:lang w:eastAsia="fr-BE"/>
        </w:rPr>
      </w:pPr>
      <w:r w:rsidRPr="00DE67B1">
        <w:rPr>
          <w:rFonts w:ascii="Lato" w:eastAsia="Times New Roman" w:hAnsi="Lato" w:cs="Times New Roman"/>
          <w:color w:val="000000"/>
          <w:sz w:val="23"/>
          <w:szCs w:val="23"/>
          <w:lang w:eastAsia="fr-BE"/>
        </w:rPr>
        <w:t>Les primes sur les </w:t>
      </w:r>
      <w:r w:rsidRPr="00DE67B1">
        <w:rPr>
          <w:rFonts w:ascii="Lato" w:eastAsia="Times New Roman" w:hAnsi="Lato" w:cs="Times New Roman"/>
          <w:color w:val="000000"/>
          <w:sz w:val="23"/>
          <w:szCs w:val="23"/>
          <w:u w:val="single"/>
          <w:lang w:eastAsia="fr-BE"/>
        </w:rPr>
        <w:t>briquettes</w:t>
      </w:r>
      <w:r w:rsidRPr="00DE67B1">
        <w:rPr>
          <w:rFonts w:ascii="Lato" w:eastAsia="Times New Roman" w:hAnsi="Lato" w:cs="Times New Roman"/>
          <w:color w:val="000000"/>
          <w:sz w:val="23"/>
          <w:szCs w:val="23"/>
          <w:lang w:eastAsia="fr-BE"/>
        </w:rPr>
        <w:t xml:space="preserve"> sont, elles, inchangées, à 700-1400 $/t, où elles se sont hissées le 8 mars. La situation est toujours aussi floue et le marché difficile à situer depuis l’arrêt des échanges sur le LME. Une prime aurait été conclue dans cette fourchette. Si les livraisons vers le LME ont repris, les volumes de stocks disponibles restent bas, deux positions dominantes - l’une détenant entre 30 et 39% du volume et la seconde entre 40 et 49% - immobilisant une bonne partie d’entre eux. A Rotterdam, les </w:t>
      </w:r>
      <w:proofErr w:type="spellStart"/>
      <w:r w:rsidRPr="00DE67B1">
        <w:rPr>
          <w:rFonts w:ascii="Lato" w:eastAsia="Times New Roman" w:hAnsi="Lato" w:cs="Times New Roman"/>
          <w:color w:val="000000"/>
          <w:sz w:val="23"/>
          <w:szCs w:val="23"/>
          <w:lang w:eastAsia="fr-BE"/>
        </w:rPr>
        <w:t>on</w:t>
      </w:r>
      <w:proofErr w:type="spellEnd"/>
      <w:r w:rsidRPr="00DE67B1">
        <w:rPr>
          <w:rFonts w:ascii="Lato" w:eastAsia="Times New Roman" w:hAnsi="Lato" w:cs="Times New Roman"/>
          <w:color w:val="000000"/>
          <w:sz w:val="23"/>
          <w:szCs w:val="23"/>
          <w:lang w:eastAsia="fr-BE"/>
        </w:rPr>
        <w:t>-warrants (métal disponible) atteignent 25.206 tonnes. « </w:t>
      </w:r>
      <w:r w:rsidRPr="00DE67B1">
        <w:rPr>
          <w:rFonts w:ascii="Lato" w:eastAsia="Times New Roman" w:hAnsi="Lato" w:cs="Times New Roman"/>
          <w:i/>
          <w:iCs/>
          <w:color w:val="000000"/>
          <w:sz w:val="23"/>
          <w:szCs w:val="23"/>
          <w:lang w:eastAsia="fr-BE"/>
        </w:rPr>
        <w:t>La faible disponibilité en nickel soutient la robustesse des primes </w:t>
      </w:r>
      <w:r w:rsidRPr="00DE67B1">
        <w:rPr>
          <w:rFonts w:ascii="Lato" w:eastAsia="Times New Roman" w:hAnsi="Lato" w:cs="Times New Roman"/>
          <w:color w:val="000000"/>
          <w:sz w:val="23"/>
          <w:szCs w:val="23"/>
          <w:lang w:eastAsia="fr-BE"/>
        </w:rPr>
        <w:t>», commente un trader. Les primes sur les </w:t>
      </w:r>
      <w:r w:rsidRPr="00DE67B1">
        <w:rPr>
          <w:rFonts w:ascii="Lato" w:eastAsia="Times New Roman" w:hAnsi="Lato" w:cs="Times New Roman"/>
          <w:color w:val="000000"/>
          <w:sz w:val="23"/>
          <w:szCs w:val="23"/>
          <w:u w:val="single"/>
          <w:lang w:eastAsia="fr-BE"/>
        </w:rPr>
        <w:t>cathodes entières</w:t>
      </w:r>
      <w:r w:rsidRPr="00DE67B1">
        <w:rPr>
          <w:rFonts w:ascii="Lato" w:eastAsia="Times New Roman" w:hAnsi="Lato" w:cs="Times New Roman"/>
          <w:color w:val="000000"/>
          <w:sz w:val="23"/>
          <w:szCs w:val="23"/>
          <w:lang w:eastAsia="fr-BE"/>
        </w:rPr>
        <w:t> sont stables sur une semaine à 150-160 $/t. Seules 7.284 tonnes de cathodes sont disponibles depuis les magasins du LME à Rotterdam.</w:t>
      </w:r>
    </w:p>
    <w:p w14:paraId="774F4590" w14:textId="77777777" w:rsidR="00DE67B1" w:rsidRPr="00DE67B1" w:rsidRDefault="00DE67B1" w:rsidP="00DE67B1">
      <w:pPr>
        <w:shd w:val="clear" w:color="auto" w:fill="FFFFFF"/>
        <w:spacing w:before="75" w:after="75" w:line="240" w:lineRule="auto"/>
        <w:jc w:val="both"/>
        <w:rPr>
          <w:rFonts w:ascii="Lato" w:eastAsia="Times New Roman" w:hAnsi="Lato" w:cs="Times New Roman"/>
          <w:color w:val="000000"/>
          <w:sz w:val="23"/>
          <w:szCs w:val="23"/>
          <w:lang w:eastAsia="fr-BE"/>
        </w:rPr>
      </w:pPr>
      <w:r w:rsidRPr="00DE67B1">
        <w:rPr>
          <w:rFonts w:ascii="Lato" w:eastAsia="Times New Roman" w:hAnsi="Lato" w:cs="Times New Roman"/>
          <w:color w:val="000000"/>
          <w:sz w:val="23"/>
          <w:szCs w:val="23"/>
          <w:lang w:eastAsia="fr-BE"/>
        </w:rPr>
        <w:t> </w:t>
      </w:r>
    </w:p>
    <w:p w14:paraId="372C8BE4" w14:textId="77777777" w:rsidR="00DE67B1" w:rsidRPr="00DE67B1" w:rsidRDefault="00DE67B1" w:rsidP="00DE67B1">
      <w:pPr>
        <w:shd w:val="clear" w:color="auto" w:fill="FFFFFF"/>
        <w:spacing w:before="75" w:after="75" w:line="240" w:lineRule="auto"/>
        <w:jc w:val="both"/>
        <w:rPr>
          <w:rFonts w:ascii="Lato" w:eastAsia="Times New Roman" w:hAnsi="Lato" w:cs="Times New Roman"/>
          <w:color w:val="000000"/>
          <w:sz w:val="23"/>
          <w:szCs w:val="23"/>
          <w:lang w:eastAsia="fr-BE"/>
        </w:rPr>
      </w:pPr>
      <w:r w:rsidRPr="00DE67B1">
        <w:rPr>
          <w:rFonts w:ascii="Lato" w:eastAsia="Times New Roman" w:hAnsi="Lato" w:cs="Times New Roman"/>
          <w:b/>
          <w:bCs/>
          <w:color w:val="A52A2A"/>
          <w:sz w:val="23"/>
          <w:szCs w:val="23"/>
          <w:lang w:eastAsia="fr-BE"/>
        </w:rPr>
        <w:t>Cuivre : progression marquée en Allemagne, plus modeste en Italie</w:t>
      </w:r>
    </w:p>
    <w:p w14:paraId="42FF76EE" w14:textId="77777777" w:rsidR="00DE67B1" w:rsidRPr="00DE67B1" w:rsidRDefault="00DE67B1" w:rsidP="00DE67B1">
      <w:pPr>
        <w:shd w:val="clear" w:color="auto" w:fill="FFFFFF"/>
        <w:spacing w:before="75" w:after="75" w:line="240" w:lineRule="auto"/>
        <w:jc w:val="both"/>
        <w:rPr>
          <w:rFonts w:ascii="Lato" w:eastAsia="Times New Roman" w:hAnsi="Lato" w:cs="Times New Roman"/>
          <w:color w:val="000000"/>
          <w:sz w:val="23"/>
          <w:szCs w:val="23"/>
          <w:lang w:eastAsia="fr-BE"/>
        </w:rPr>
      </w:pPr>
      <w:r w:rsidRPr="00DE67B1">
        <w:rPr>
          <w:rFonts w:ascii="Lato" w:eastAsia="Times New Roman" w:hAnsi="Lato" w:cs="Times New Roman"/>
          <w:color w:val="000000"/>
          <w:sz w:val="23"/>
          <w:szCs w:val="23"/>
          <w:lang w:eastAsia="fr-BE"/>
        </w:rPr>
        <w:t>L’incertitude autour de l’approvisionnement russe et les restrictions que s’imposent les opérateurs, quant à l’utilisation de cathodes russes, ont soutenu les primes qui ont renchéri en </w:t>
      </w:r>
      <w:r w:rsidRPr="00DE67B1">
        <w:rPr>
          <w:rFonts w:ascii="Lato" w:eastAsia="Times New Roman" w:hAnsi="Lato" w:cs="Times New Roman"/>
          <w:b/>
          <w:bCs/>
          <w:color w:val="000000"/>
          <w:sz w:val="23"/>
          <w:szCs w:val="23"/>
          <w:lang w:eastAsia="fr-BE"/>
        </w:rPr>
        <w:t>Allemagne </w:t>
      </w:r>
      <w:r w:rsidRPr="00DE67B1">
        <w:rPr>
          <w:rFonts w:ascii="Lato" w:eastAsia="Times New Roman" w:hAnsi="Lato" w:cs="Times New Roman"/>
          <w:color w:val="000000"/>
          <w:sz w:val="23"/>
          <w:szCs w:val="23"/>
          <w:lang w:eastAsia="fr-BE"/>
        </w:rPr>
        <w:t>et en </w:t>
      </w:r>
      <w:r w:rsidRPr="00DE67B1">
        <w:rPr>
          <w:rFonts w:ascii="Lato" w:eastAsia="Times New Roman" w:hAnsi="Lato" w:cs="Times New Roman"/>
          <w:b/>
          <w:bCs/>
          <w:color w:val="000000"/>
          <w:sz w:val="23"/>
          <w:szCs w:val="23"/>
          <w:lang w:eastAsia="fr-BE"/>
        </w:rPr>
        <w:t>Italie</w:t>
      </w:r>
      <w:r w:rsidRPr="00DE67B1">
        <w:rPr>
          <w:rFonts w:ascii="Lato" w:eastAsia="Times New Roman" w:hAnsi="Lato" w:cs="Times New Roman"/>
          <w:color w:val="000000"/>
          <w:sz w:val="23"/>
          <w:szCs w:val="23"/>
          <w:lang w:eastAsia="fr-BE"/>
        </w:rPr>
        <w:t>. « </w:t>
      </w:r>
      <w:r w:rsidRPr="00DE67B1">
        <w:rPr>
          <w:rFonts w:ascii="Lato" w:eastAsia="Times New Roman" w:hAnsi="Lato" w:cs="Times New Roman"/>
          <w:i/>
          <w:iCs/>
          <w:color w:val="000000"/>
          <w:sz w:val="23"/>
          <w:szCs w:val="23"/>
          <w:lang w:eastAsia="fr-BE"/>
        </w:rPr>
        <w:t>Tous les yeux étaient tournés vers le LME, où le marché craignait un embargo du métal russe</w:t>
      </w:r>
      <w:r w:rsidRPr="00DE67B1">
        <w:rPr>
          <w:rFonts w:ascii="Lato" w:eastAsia="Times New Roman" w:hAnsi="Lato" w:cs="Times New Roman"/>
          <w:color w:val="000000"/>
          <w:sz w:val="23"/>
          <w:szCs w:val="23"/>
          <w:lang w:eastAsia="fr-BE"/>
        </w:rPr>
        <w:t> », indique un trader européen, mais la bourse a fait savoir qu’elle n’avait pas l’intention de prendre une telle mesure (</w:t>
      </w:r>
      <w:proofErr w:type="spellStart"/>
      <w:r w:rsidRPr="00DE67B1">
        <w:rPr>
          <w:rFonts w:ascii="Lato" w:eastAsia="Times New Roman" w:hAnsi="Lato" w:cs="Times New Roman"/>
          <w:color w:val="000000"/>
          <w:sz w:val="23"/>
          <w:szCs w:val="23"/>
          <w:lang w:eastAsia="fr-BE"/>
        </w:rPr>
        <w:t>cf</w:t>
      </w:r>
      <w:proofErr w:type="spellEnd"/>
      <w:r w:rsidRPr="00DE67B1">
        <w:rPr>
          <w:rFonts w:ascii="Lato" w:eastAsia="Times New Roman" w:hAnsi="Lato" w:cs="Times New Roman"/>
          <w:color w:val="000000"/>
          <w:sz w:val="23"/>
          <w:szCs w:val="23"/>
          <w:lang w:eastAsia="fr-BE"/>
        </w:rPr>
        <w:t xml:space="preserve"> p4). « </w:t>
      </w:r>
      <w:r w:rsidRPr="00DE67B1">
        <w:rPr>
          <w:rFonts w:ascii="Lato" w:eastAsia="Times New Roman" w:hAnsi="Lato" w:cs="Times New Roman"/>
          <w:i/>
          <w:iCs/>
          <w:color w:val="000000"/>
          <w:sz w:val="23"/>
          <w:szCs w:val="23"/>
          <w:lang w:eastAsia="fr-BE"/>
        </w:rPr>
        <w:t>Qu’il soit banni ou pas, nous n’achetons de métal russe car les consommateurs n’en veulent pas</w:t>
      </w:r>
      <w:r w:rsidRPr="00DE67B1">
        <w:rPr>
          <w:rFonts w:ascii="Lato" w:eastAsia="Times New Roman" w:hAnsi="Lato" w:cs="Times New Roman"/>
          <w:color w:val="000000"/>
          <w:sz w:val="23"/>
          <w:szCs w:val="23"/>
          <w:lang w:eastAsia="fr-BE"/>
        </w:rPr>
        <w:t> », ajoute un trader du sud du continent.</w:t>
      </w:r>
    </w:p>
    <w:p w14:paraId="5D825EC7" w14:textId="77777777" w:rsidR="00DE67B1" w:rsidRPr="00DE67B1" w:rsidRDefault="00DE67B1" w:rsidP="00DE67B1">
      <w:pPr>
        <w:shd w:val="clear" w:color="auto" w:fill="FFFFFF"/>
        <w:spacing w:before="75" w:after="75" w:line="240" w:lineRule="auto"/>
        <w:jc w:val="both"/>
        <w:rPr>
          <w:rFonts w:ascii="Lato" w:eastAsia="Times New Roman" w:hAnsi="Lato" w:cs="Times New Roman"/>
          <w:color w:val="000000"/>
          <w:sz w:val="23"/>
          <w:szCs w:val="23"/>
          <w:lang w:eastAsia="fr-BE"/>
        </w:rPr>
      </w:pPr>
      <w:r w:rsidRPr="00DE67B1">
        <w:rPr>
          <w:rFonts w:ascii="Lato" w:eastAsia="Times New Roman" w:hAnsi="Lato" w:cs="Times New Roman"/>
          <w:color w:val="000000"/>
          <w:sz w:val="23"/>
          <w:szCs w:val="23"/>
          <w:lang w:eastAsia="fr-BE"/>
        </w:rPr>
        <w:t>Les primes sur les </w:t>
      </w:r>
      <w:r w:rsidRPr="00DE67B1">
        <w:rPr>
          <w:rFonts w:ascii="Lato" w:eastAsia="Times New Roman" w:hAnsi="Lato" w:cs="Times New Roman"/>
          <w:color w:val="000000"/>
          <w:sz w:val="23"/>
          <w:szCs w:val="23"/>
          <w:u w:val="single"/>
          <w:lang w:eastAsia="fr-BE"/>
        </w:rPr>
        <w:t>cathodes livrée</w:t>
      </w:r>
      <w:r w:rsidRPr="00DE67B1">
        <w:rPr>
          <w:rFonts w:ascii="Lato" w:eastAsia="Times New Roman" w:hAnsi="Lato" w:cs="Times New Roman"/>
          <w:color w:val="000000"/>
          <w:sz w:val="23"/>
          <w:szCs w:val="23"/>
          <w:lang w:eastAsia="fr-BE"/>
        </w:rPr>
        <w:t>s en </w:t>
      </w:r>
      <w:r w:rsidRPr="00DE67B1">
        <w:rPr>
          <w:rFonts w:ascii="Lato" w:eastAsia="Times New Roman" w:hAnsi="Lato" w:cs="Times New Roman"/>
          <w:b/>
          <w:bCs/>
          <w:color w:val="000000"/>
          <w:sz w:val="23"/>
          <w:szCs w:val="23"/>
          <w:lang w:eastAsia="fr-BE"/>
        </w:rPr>
        <w:t>Allemagne </w:t>
      </w:r>
      <w:r w:rsidRPr="00DE67B1">
        <w:rPr>
          <w:rFonts w:ascii="Lato" w:eastAsia="Times New Roman" w:hAnsi="Lato" w:cs="Times New Roman"/>
          <w:color w:val="000000"/>
          <w:sz w:val="23"/>
          <w:szCs w:val="23"/>
          <w:lang w:eastAsia="fr-BE"/>
        </w:rPr>
        <w:t>ont bondi à 130-150 $/t, depuis la fourchette de 100-150 $/t où elles s’étaient hissées il y a deux semaines. Les opérateurs parlent d’une crise quand ils évoquent les primes, les difficultés logistiques et leur coût. « </w:t>
      </w:r>
      <w:r w:rsidRPr="00DE67B1">
        <w:rPr>
          <w:rFonts w:ascii="Lato" w:eastAsia="Times New Roman" w:hAnsi="Lato" w:cs="Times New Roman"/>
          <w:i/>
          <w:iCs/>
          <w:color w:val="000000"/>
          <w:sz w:val="23"/>
          <w:szCs w:val="23"/>
          <w:lang w:eastAsia="fr-BE"/>
        </w:rPr>
        <w:t>Nous ne proposerons plus rien à moins de 150 $ </w:t>
      </w:r>
      <w:r w:rsidRPr="00DE67B1">
        <w:rPr>
          <w:rFonts w:ascii="Lato" w:eastAsia="Times New Roman" w:hAnsi="Lato" w:cs="Times New Roman"/>
          <w:color w:val="000000"/>
          <w:sz w:val="23"/>
          <w:szCs w:val="23"/>
          <w:lang w:eastAsia="fr-BE"/>
        </w:rPr>
        <w:t xml:space="preserve">», indique un trader tandis </w:t>
      </w:r>
      <w:proofErr w:type="gramStart"/>
      <w:r w:rsidRPr="00DE67B1">
        <w:rPr>
          <w:rFonts w:ascii="Lato" w:eastAsia="Times New Roman" w:hAnsi="Lato" w:cs="Times New Roman"/>
          <w:color w:val="000000"/>
          <w:sz w:val="23"/>
          <w:szCs w:val="23"/>
          <w:lang w:eastAsia="fr-BE"/>
        </w:rPr>
        <w:t>qu’un autre estime</w:t>
      </w:r>
      <w:proofErr w:type="gramEnd"/>
      <w:r w:rsidRPr="00DE67B1">
        <w:rPr>
          <w:rFonts w:ascii="Lato" w:eastAsia="Times New Roman" w:hAnsi="Lato" w:cs="Times New Roman"/>
          <w:color w:val="000000"/>
          <w:sz w:val="23"/>
          <w:szCs w:val="23"/>
          <w:lang w:eastAsia="fr-BE"/>
        </w:rPr>
        <w:t xml:space="preserve"> que « </w:t>
      </w:r>
      <w:r w:rsidRPr="00DE67B1">
        <w:rPr>
          <w:rFonts w:ascii="Lato" w:eastAsia="Times New Roman" w:hAnsi="Lato" w:cs="Times New Roman"/>
          <w:i/>
          <w:iCs/>
          <w:color w:val="000000"/>
          <w:sz w:val="23"/>
          <w:szCs w:val="23"/>
          <w:lang w:eastAsia="fr-BE"/>
        </w:rPr>
        <w:t>130 $ est le plus bas que nous puissions offrir.</w:t>
      </w:r>
      <w:r w:rsidRPr="00DE67B1">
        <w:rPr>
          <w:rFonts w:ascii="Lato" w:eastAsia="Times New Roman" w:hAnsi="Lato" w:cs="Times New Roman"/>
          <w:color w:val="000000"/>
          <w:sz w:val="23"/>
          <w:szCs w:val="23"/>
          <w:lang w:eastAsia="fr-BE"/>
        </w:rPr>
        <w:t> » Quant aux possibles restrictions sur le métal russe, «</w:t>
      </w:r>
      <w:r w:rsidRPr="00DE67B1">
        <w:rPr>
          <w:rFonts w:ascii="Lato" w:eastAsia="Times New Roman" w:hAnsi="Lato" w:cs="Times New Roman"/>
          <w:i/>
          <w:iCs/>
          <w:color w:val="000000"/>
          <w:sz w:val="23"/>
          <w:szCs w:val="23"/>
          <w:lang w:eastAsia="fr-BE"/>
        </w:rPr>
        <w:t> je ne pense pas que cela puisse arriver. Ce serait ingérable, en particulier pour les consommateurs allemands qui ont des contrats à long terme avec les producteurs russes. </w:t>
      </w:r>
      <w:r w:rsidRPr="00DE67B1">
        <w:rPr>
          <w:rFonts w:ascii="Lato" w:eastAsia="Times New Roman" w:hAnsi="Lato" w:cs="Times New Roman"/>
          <w:color w:val="000000"/>
          <w:sz w:val="23"/>
          <w:szCs w:val="23"/>
          <w:lang w:eastAsia="fr-BE"/>
        </w:rPr>
        <w:t xml:space="preserve">» Les primes </w:t>
      </w:r>
      <w:proofErr w:type="spellStart"/>
      <w:r w:rsidRPr="00DE67B1">
        <w:rPr>
          <w:rFonts w:ascii="Lato" w:eastAsia="Times New Roman" w:hAnsi="Lato" w:cs="Times New Roman"/>
          <w:color w:val="000000"/>
          <w:sz w:val="23"/>
          <w:szCs w:val="23"/>
          <w:lang w:eastAsia="fr-BE"/>
        </w:rPr>
        <w:t>cif</w:t>
      </w:r>
      <w:proofErr w:type="spellEnd"/>
      <w:r w:rsidRPr="00DE67B1">
        <w:rPr>
          <w:rFonts w:ascii="Lato" w:eastAsia="Times New Roman" w:hAnsi="Lato" w:cs="Times New Roman"/>
          <w:color w:val="000000"/>
          <w:sz w:val="23"/>
          <w:szCs w:val="23"/>
          <w:lang w:eastAsia="fr-BE"/>
        </w:rPr>
        <w:t xml:space="preserve"> Rotterdam sont, en revanche, stables, à 40-50 $/t.</w:t>
      </w:r>
    </w:p>
    <w:p w14:paraId="6D7ADBB8" w14:textId="77777777" w:rsidR="00DE67B1" w:rsidRPr="00DE67B1" w:rsidRDefault="00DE67B1" w:rsidP="00DE67B1">
      <w:pPr>
        <w:shd w:val="clear" w:color="auto" w:fill="FFFFFF"/>
        <w:spacing w:before="75" w:after="75" w:line="240" w:lineRule="auto"/>
        <w:jc w:val="both"/>
        <w:rPr>
          <w:rFonts w:ascii="Lato" w:eastAsia="Times New Roman" w:hAnsi="Lato" w:cs="Times New Roman"/>
          <w:color w:val="000000"/>
          <w:sz w:val="23"/>
          <w:szCs w:val="23"/>
          <w:lang w:eastAsia="fr-BE"/>
        </w:rPr>
      </w:pPr>
      <w:r w:rsidRPr="00DE67B1">
        <w:rPr>
          <w:rFonts w:ascii="Lato" w:eastAsia="Times New Roman" w:hAnsi="Lato" w:cs="Times New Roman"/>
          <w:color w:val="000000"/>
          <w:sz w:val="23"/>
          <w:szCs w:val="23"/>
          <w:lang w:eastAsia="fr-BE"/>
        </w:rPr>
        <w:t>En </w:t>
      </w:r>
      <w:r w:rsidRPr="00DE67B1">
        <w:rPr>
          <w:rFonts w:ascii="Lato" w:eastAsia="Times New Roman" w:hAnsi="Lato" w:cs="Times New Roman"/>
          <w:b/>
          <w:bCs/>
          <w:color w:val="000000"/>
          <w:sz w:val="23"/>
          <w:szCs w:val="23"/>
          <w:lang w:eastAsia="fr-BE"/>
        </w:rPr>
        <w:t>Italie</w:t>
      </w:r>
      <w:r w:rsidRPr="00DE67B1">
        <w:rPr>
          <w:rFonts w:ascii="Lato" w:eastAsia="Times New Roman" w:hAnsi="Lato" w:cs="Times New Roman"/>
          <w:color w:val="000000"/>
          <w:sz w:val="23"/>
          <w:szCs w:val="23"/>
          <w:lang w:eastAsia="fr-BE"/>
        </w:rPr>
        <w:t xml:space="preserve">, les primes </w:t>
      </w:r>
      <w:proofErr w:type="spellStart"/>
      <w:r w:rsidRPr="00DE67B1">
        <w:rPr>
          <w:rFonts w:ascii="Lato" w:eastAsia="Times New Roman" w:hAnsi="Lato" w:cs="Times New Roman"/>
          <w:color w:val="000000"/>
          <w:sz w:val="23"/>
          <w:szCs w:val="23"/>
          <w:lang w:eastAsia="fr-BE"/>
        </w:rPr>
        <w:t>cif</w:t>
      </w:r>
      <w:proofErr w:type="spellEnd"/>
      <w:r w:rsidRPr="00DE67B1">
        <w:rPr>
          <w:rFonts w:ascii="Lato" w:eastAsia="Times New Roman" w:hAnsi="Lato" w:cs="Times New Roman"/>
          <w:color w:val="000000"/>
          <w:sz w:val="23"/>
          <w:szCs w:val="23"/>
          <w:lang w:eastAsia="fr-BE"/>
        </w:rPr>
        <w:t> </w:t>
      </w:r>
      <w:r w:rsidRPr="00DE67B1">
        <w:rPr>
          <w:rFonts w:ascii="Lato" w:eastAsia="Times New Roman" w:hAnsi="Lato" w:cs="Times New Roman"/>
          <w:b/>
          <w:bCs/>
          <w:color w:val="000000"/>
          <w:sz w:val="23"/>
          <w:szCs w:val="23"/>
          <w:lang w:eastAsia="fr-BE"/>
        </w:rPr>
        <w:t>Livourne </w:t>
      </w:r>
      <w:r w:rsidRPr="00DE67B1">
        <w:rPr>
          <w:rFonts w:ascii="Lato" w:eastAsia="Times New Roman" w:hAnsi="Lato" w:cs="Times New Roman"/>
          <w:color w:val="000000"/>
          <w:sz w:val="23"/>
          <w:szCs w:val="23"/>
          <w:lang w:eastAsia="fr-BE"/>
        </w:rPr>
        <w:t>ont progressé de 10 $ à 90-115 $/t. Les propositions pour les </w:t>
      </w:r>
      <w:r w:rsidRPr="00DE67B1">
        <w:rPr>
          <w:rFonts w:ascii="Lato" w:eastAsia="Times New Roman" w:hAnsi="Lato" w:cs="Times New Roman"/>
          <w:color w:val="000000"/>
          <w:sz w:val="23"/>
          <w:szCs w:val="23"/>
          <w:u w:val="single"/>
          <w:lang w:eastAsia="fr-BE"/>
        </w:rPr>
        <w:t>cathodes livrées</w:t>
      </w:r>
      <w:r w:rsidRPr="00DE67B1">
        <w:rPr>
          <w:rFonts w:ascii="Lato" w:eastAsia="Times New Roman" w:hAnsi="Lato" w:cs="Times New Roman"/>
          <w:color w:val="000000"/>
          <w:sz w:val="23"/>
          <w:szCs w:val="23"/>
          <w:lang w:eastAsia="fr-BE"/>
        </w:rPr>
        <w:t> s’élèvent jusqu’à 160-165 $/t.</w:t>
      </w:r>
    </w:p>
    <w:p w14:paraId="1D4C2379" w14:textId="77777777" w:rsidR="00DE67B1" w:rsidRPr="00DE67B1" w:rsidRDefault="00DE67B1" w:rsidP="00DE67B1">
      <w:pPr>
        <w:shd w:val="clear" w:color="auto" w:fill="FFFFFF"/>
        <w:spacing w:before="75" w:after="75" w:line="240" w:lineRule="auto"/>
        <w:jc w:val="both"/>
        <w:rPr>
          <w:rFonts w:ascii="Lato" w:eastAsia="Times New Roman" w:hAnsi="Lato" w:cs="Times New Roman"/>
          <w:color w:val="000000"/>
          <w:sz w:val="23"/>
          <w:szCs w:val="23"/>
          <w:lang w:eastAsia="fr-BE"/>
        </w:rPr>
      </w:pPr>
      <w:r w:rsidRPr="00DE67B1">
        <w:rPr>
          <w:rFonts w:ascii="Lato" w:eastAsia="Times New Roman" w:hAnsi="Lato" w:cs="Times New Roman"/>
          <w:color w:val="000000"/>
          <w:sz w:val="23"/>
          <w:szCs w:val="23"/>
          <w:lang w:eastAsia="fr-BE"/>
        </w:rPr>
        <w:t> </w:t>
      </w:r>
    </w:p>
    <w:p w14:paraId="0CF995BA" w14:textId="77777777" w:rsidR="00DE67B1" w:rsidRPr="00DE67B1" w:rsidRDefault="00DE67B1" w:rsidP="00DE67B1">
      <w:pPr>
        <w:shd w:val="clear" w:color="auto" w:fill="FFFFFF"/>
        <w:spacing w:before="75" w:after="75" w:line="240" w:lineRule="auto"/>
        <w:jc w:val="both"/>
        <w:rPr>
          <w:rFonts w:ascii="Lato" w:eastAsia="Times New Roman" w:hAnsi="Lato" w:cs="Times New Roman"/>
          <w:color w:val="000000"/>
          <w:sz w:val="23"/>
          <w:szCs w:val="23"/>
          <w:lang w:eastAsia="fr-BE"/>
        </w:rPr>
      </w:pPr>
      <w:r w:rsidRPr="00DE67B1">
        <w:rPr>
          <w:rFonts w:ascii="Lato" w:eastAsia="Times New Roman" w:hAnsi="Lato" w:cs="Times New Roman"/>
          <w:b/>
          <w:bCs/>
          <w:color w:val="A52A2A"/>
          <w:sz w:val="23"/>
          <w:szCs w:val="23"/>
          <w:lang w:eastAsia="fr-BE"/>
        </w:rPr>
        <w:t>Etain : freiné par les cours élevés</w:t>
      </w:r>
    </w:p>
    <w:p w14:paraId="5DF1BFF5" w14:textId="77777777" w:rsidR="00DE67B1" w:rsidRPr="00DE67B1" w:rsidRDefault="00DE67B1" w:rsidP="00DE67B1">
      <w:pPr>
        <w:shd w:val="clear" w:color="auto" w:fill="FFFFFF"/>
        <w:spacing w:before="75" w:after="75" w:line="240" w:lineRule="auto"/>
        <w:jc w:val="both"/>
        <w:rPr>
          <w:rFonts w:ascii="Lato" w:eastAsia="Times New Roman" w:hAnsi="Lato" w:cs="Times New Roman"/>
          <w:color w:val="000000"/>
          <w:sz w:val="23"/>
          <w:szCs w:val="23"/>
          <w:lang w:eastAsia="fr-BE"/>
        </w:rPr>
      </w:pPr>
      <w:r w:rsidRPr="00DE67B1">
        <w:rPr>
          <w:rFonts w:ascii="Lato" w:eastAsia="Times New Roman" w:hAnsi="Lato" w:cs="Times New Roman"/>
          <w:color w:val="000000"/>
          <w:sz w:val="23"/>
          <w:szCs w:val="23"/>
          <w:lang w:eastAsia="fr-BE"/>
        </w:rPr>
        <w:t>Les primes négociées au départ des entrepôts de </w:t>
      </w:r>
      <w:r w:rsidRPr="00DE67B1">
        <w:rPr>
          <w:rFonts w:ascii="Lato" w:eastAsia="Times New Roman" w:hAnsi="Lato" w:cs="Times New Roman"/>
          <w:b/>
          <w:bCs/>
          <w:color w:val="000000"/>
          <w:sz w:val="23"/>
          <w:szCs w:val="23"/>
          <w:lang w:eastAsia="fr-BE"/>
        </w:rPr>
        <w:t>Rotterdam </w:t>
      </w:r>
      <w:r w:rsidRPr="00DE67B1">
        <w:rPr>
          <w:rFonts w:ascii="Lato" w:eastAsia="Times New Roman" w:hAnsi="Lato" w:cs="Times New Roman"/>
          <w:color w:val="000000"/>
          <w:sz w:val="23"/>
          <w:szCs w:val="23"/>
          <w:lang w:eastAsia="fr-BE"/>
        </w:rPr>
        <w:t>sont restées stables, à 1.200-1.600 $/t pour l’</w:t>
      </w:r>
      <w:r w:rsidRPr="00DE67B1">
        <w:rPr>
          <w:rFonts w:ascii="Lato" w:eastAsia="Times New Roman" w:hAnsi="Lato" w:cs="Times New Roman"/>
          <w:color w:val="000000"/>
          <w:sz w:val="23"/>
          <w:szCs w:val="23"/>
          <w:u w:val="single"/>
          <w:lang w:eastAsia="fr-BE"/>
        </w:rPr>
        <w:t>étain 99,9%</w:t>
      </w:r>
      <w:r w:rsidRPr="00DE67B1">
        <w:rPr>
          <w:rFonts w:ascii="Lato" w:eastAsia="Times New Roman" w:hAnsi="Lato" w:cs="Times New Roman"/>
          <w:color w:val="000000"/>
          <w:sz w:val="23"/>
          <w:szCs w:val="23"/>
          <w:lang w:eastAsia="fr-BE"/>
        </w:rPr>
        <w:t> et à 1.500-1.900 $/t pour l’</w:t>
      </w:r>
      <w:r w:rsidRPr="00DE67B1">
        <w:rPr>
          <w:rFonts w:ascii="Lato" w:eastAsia="Times New Roman" w:hAnsi="Lato" w:cs="Times New Roman"/>
          <w:color w:val="000000"/>
          <w:sz w:val="23"/>
          <w:szCs w:val="23"/>
          <w:u w:val="single"/>
          <w:lang w:eastAsia="fr-BE"/>
        </w:rPr>
        <w:t>étain à faible teneur en plomb</w:t>
      </w:r>
      <w:r w:rsidRPr="00DE67B1">
        <w:rPr>
          <w:rFonts w:ascii="Lato" w:eastAsia="Times New Roman" w:hAnsi="Lato" w:cs="Times New Roman"/>
          <w:color w:val="000000"/>
          <w:sz w:val="23"/>
          <w:szCs w:val="23"/>
          <w:lang w:eastAsia="fr-BE"/>
        </w:rPr>
        <w:t>, dans un marché freiné par la robustesse des cours sur le LME. « </w:t>
      </w:r>
      <w:r w:rsidRPr="00DE67B1">
        <w:rPr>
          <w:rFonts w:ascii="Lato" w:eastAsia="Times New Roman" w:hAnsi="Lato" w:cs="Times New Roman"/>
          <w:i/>
          <w:iCs/>
          <w:color w:val="000000"/>
          <w:sz w:val="23"/>
          <w:szCs w:val="23"/>
          <w:lang w:eastAsia="fr-BE"/>
        </w:rPr>
        <w:t>Beaucoup sont stupéfaits par le niveau des cours atteint sur le LME</w:t>
      </w:r>
      <w:r w:rsidRPr="00DE67B1">
        <w:rPr>
          <w:rFonts w:ascii="Lato" w:eastAsia="Times New Roman" w:hAnsi="Lato" w:cs="Times New Roman"/>
          <w:color w:val="000000"/>
          <w:sz w:val="23"/>
          <w:szCs w:val="23"/>
          <w:lang w:eastAsia="fr-BE"/>
        </w:rPr>
        <w:t> », explique un trader faisant référence aux niveaux égalés trois semaines auparavant. « </w:t>
      </w:r>
      <w:r w:rsidRPr="00DE67B1">
        <w:rPr>
          <w:rFonts w:ascii="Lato" w:eastAsia="Times New Roman" w:hAnsi="Lato" w:cs="Times New Roman"/>
          <w:i/>
          <w:iCs/>
          <w:color w:val="000000"/>
          <w:sz w:val="23"/>
          <w:szCs w:val="23"/>
          <w:lang w:eastAsia="fr-BE"/>
        </w:rPr>
        <w:t>Difficile pour les consommateurs de financer l’achat du métal quand il excède 40.000 $/t </w:t>
      </w:r>
      <w:r w:rsidRPr="00DE67B1">
        <w:rPr>
          <w:rFonts w:ascii="Lato" w:eastAsia="Times New Roman" w:hAnsi="Lato" w:cs="Times New Roman"/>
          <w:color w:val="000000"/>
          <w:sz w:val="23"/>
          <w:szCs w:val="23"/>
          <w:lang w:eastAsia="fr-BE"/>
        </w:rPr>
        <w:t>», souligne un producteur. « </w:t>
      </w:r>
      <w:r w:rsidRPr="00DE67B1">
        <w:rPr>
          <w:rFonts w:ascii="Lato" w:eastAsia="Times New Roman" w:hAnsi="Lato" w:cs="Times New Roman"/>
          <w:i/>
          <w:iCs/>
          <w:color w:val="000000"/>
          <w:sz w:val="23"/>
          <w:szCs w:val="23"/>
          <w:lang w:eastAsia="fr-BE"/>
        </w:rPr>
        <w:t>A un cours légèrement inférieur à 40.000 $/t, le container vaut moins d’1 million de dollars, la barrière psychologique qu’il ne faut surtout pas franchir </w:t>
      </w:r>
      <w:r w:rsidRPr="00DE67B1">
        <w:rPr>
          <w:rFonts w:ascii="Lato" w:eastAsia="Times New Roman" w:hAnsi="Lato" w:cs="Times New Roman"/>
          <w:color w:val="000000"/>
          <w:sz w:val="23"/>
          <w:szCs w:val="23"/>
          <w:lang w:eastAsia="fr-BE"/>
        </w:rPr>
        <w:t xml:space="preserve">», souligne-il. La demande est plus faible qu’escompté, note un </w:t>
      </w:r>
      <w:r w:rsidRPr="00DE67B1">
        <w:rPr>
          <w:rFonts w:ascii="Lato" w:eastAsia="Times New Roman" w:hAnsi="Lato" w:cs="Times New Roman"/>
          <w:color w:val="000000"/>
          <w:sz w:val="23"/>
          <w:szCs w:val="23"/>
          <w:lang w:eastAsia="fr-BE"/>
        </w:rPr>
        <w:lastRenderedPageBreak/>
        <w:t>second trader, qui s’attendait à ce que le métal provenant des contrats à long terme et les réserves constituées sur novembre et décembre 2021 soient consommées pour maintenant. Concernant l’offre, la Chine aurait capté des bateaux en partance d’Indonésie, des bateaux qui ne sont donc pas partis pour l’Europe. «</w:t>
      </w:r>
      <w:r w:rsidRPr="00DE67B1">
        <w:rPr>
          <w:rFonts w:ascii="Lato" w:eastAsia="Times New Roman" w:hAnsi="Lato" w:cs="Times New Roman"/>
          <w:i/>
          <w:iCs/>
          <w:color w:val="000000"/>
          <w:sz w:val="23"/>
          <w:szCs w:val="23"/>
          <w:lang w:eastAsia="fr-BE"/>
        </w:rPr>
        <w:t> Au regard des tensions persistantes sur l’offre et de la demande, qui malgré tout se maintient, le cours de l’étain pourraient à nouveau atteindre 50.000 $/t. Les difficultés côté offre vont maintenir les primes et les cours aux niveaux actuels </w:t>
      </w:r>
      <w:r w:rsidRPr="00DE67B1">
        <w:rPr>
          <w:rFonts w:ascii="Lato" w:eastAsia="Times New Roman" w:hAnsi="Lato" w:cs="Times New Roman"/>
          <w:color w:val="000000"/>
          <w:sz w:val="23"/>
          <w:szCs w:val="23"/>
          <w:lang w:eastAsia="fr-BE"/>
        </w:rPr>
        <w:t>», anticipe le trader.</w:t>
      </w:r>
    </w:p>
    <w:p w14:paraId="1E5E0D79" w14:textId="77777777" w:rsidR="00DE67B1" w:rsidRPr="00DE67B1" w:rsidRDefault="00DE67B1" w:rsidP="00DE67B1">
      <w:pPr>
        <w:shd w:val="clear" w:color="auto" w:fill="FFFFFF"/>
        <w:spacing w:before="75" w:after="75" w:line="240" w:lineRule="auto"/>
        <w:jc w:val="both"/>
        <w:rPr>
          <w:rFonts w:ascii="Lato" w:eastAsia="Times New Roman" w:hAnsi="Lato" w:cs="Times New Roman"/>
          <w:color w:val="000000"/>
          <w:sz w:val="23"/>
          <w:szCs w:val="23"/>
          <w:lang w:eastAsia="fr-BE"/>
        </w:rPr>
      </w:pPr>
      <w:r w:rsidRPr="00DE67B1">
        <w:rPr>
          <w:rFonts w:ascii="Lato" w:eastAsia="Times New Roman" w:hAnsi="Lato" w:cs="Times New Roman"/>
          <w:color w:val="000000"/>
          <w:sz w:val="23"/>
          <w:szCs w:val="23"/>
          <w:lang w:eastAsia="fr-BE"/>
        </w:rPr>
        <w:t> </w:t>
      </w:r>
    </w:p>
    <w:p w14:paraId="19378AEA" w14:textId="77777777" w:rsidR="00813846" w:rsidRDefault="00813846"/>
    <w:sectPr w:rsidR="00813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B1"/>
    <w:rsid w:val="001227A4"/>
    <w:rsid w:val="00813846"/>
    <w:rsid w:val="00DE67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A03B"/>
  <w15:chartTrackingRefBased/>
  <w15:docId w15:val="{976F22FB-EA37-4959-B382-18E52157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1190</Words>
  <Characters>6549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2022-03-29T07:19:00Z</dcterms:created>
  <dcterms:modified xsi:type="dcterms:W3CDTF">2022-03-29T09:02:00Z</dcterms:modified>
</cp:coreProperties>
</file>